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894876" w14:textId="77777777" w:rsidR="00F85EF2" w:rsidRDefault="00F85EF2" w:rsidP="00F85EF2">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3BCD657C" w14:textId="7A3EC7F0" w:rsidR="00F85EF2" w:rsidRPr="00F85EF2" w:rsidRDefault="00F85EF2" w:rsidP="00F85EF2">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F85EF2">
        <w:rPr>
          <w:rFonts w:ascii="Garamond" w:eastAsia="Times New Roman" w:hAnsi="Garamond" w:cs="Times New Roman"/>
          <w:b/>
          <w:bCs/>
          <w:kern w:val="0"/>
          <w:sz w:val="28"/>
          <w:szCs w:val="28"/>
          <w:lang w:eastAsia="en-AU"/>
          <w14:ligatures w14:val="none"/>
        </w:rPr>
        <w:t>PUPPY HEALTH FACT SHEET</w:t>
      </w:r>
      <w:r w:rsidRPr="00F85EF2">
        <w:rPr>
          <w:rFonts w:ascii="Garamond" w:eastAsia="Times New Roman" w:hAnsi="Garamond" w:cs="Times New Roman"/>
          <w:kern w:val="0"/>
          <w:sz w:val="28"/>
          <w:szCs w:val="28"/>
          <w:lang w:eastAsia="en-AU"/>
          <w14:ligatures w14:val="none"/>
        </w:rPr>
        <w:br/>
      </w:r>
      <w:r w:rsidRPr="00F85EF2">
        <w:rPr>
          <w:rFonts w:ascii="Garamond" w:eastAsia="Times New Roman" w:hAnsi="Garamond" w:cs="Times New Roman"/>
          <w:b/>
          <w:bCs/>
          <w:kern w:val="0"/>
          <w:sz w:val="28"/>
          <w:szCs w:val="28"/>
          <w:lang w:eastAsia="en-AU"/>
          <w14:ligatures w14:val="none"/>
        </w:rPr>
        <w:t>Topic: Base Narrow Canines (BNC)</w:t>
      </w:r>
    </w:p>
    <w:p w14:paraId="51BB1DDD"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4A40417B">
          <v:rect id="_x0000_i1041" style="width:0;height:1.5pt" o:hralign="center" o:hrstd="t" o:hr="t" fillcolor="#a0a0a0" stroked="f"/>
        </w:pict>
      </w:r>
    </w:p>
    <w:p w14:paraId="12757CA2"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What is it?</w:t>
      </w:r>
      <w:r w:rsidRPr="00F85EF2">
        <w:rPr>
          <w:rFonts w:ascii="Garamond" w:eastAsia="Times New Roman" w:hAnsi="Garamond" w:cs="Times New Roman"/>
          <w:kern w:val="0"/>
          <w:sz w:val="24"/>
          <w:szCs w:val="24"/>
          <w:lang w:eastAsia="en-AU"/>
          <w14:ligatures w14:val="none"/>
        </w:rPr>
        <w:br/>
        <w:t>Base Narrow Canines (BNC) refers to a dental alignment issue where the lower canine teeth (mandibular canines) are positioned too vertically or angle inward, potentially causing trauma to the upper palate. In its more serious form, this can result in pain, ulceration, or long-term structural issues.</w:t>
      </w:r>
    </w:p>
    <w:p w14:paraId="403B020F"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1E1CEED1">
          <v:rect id="_x0000_i1042" style="width:0;height:1.5pt" o:hralign="center" o:hrstd="t" o:hr="t" fillcolor="#a0a0a0" stroked="f"/>
        </w:pict>
      </w:r>
    </w:p>
    <w:p w14:paraId="32CABD8F"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Developmental Note:</w:t>
      </w:r>
      <w:r w:rsidRPr="00F85EF2">
        <w:rPr>
          <w:rFonts w:ascii="Garamond" w:eastAsia="Times New Roman" w:hAnsi="Garamond" w:cs="Times New Roman"/>
          <w:kern w:val="0"/>
          <w:sz w:val="24"/>
          <w:szCs w:val="24"/>
          <w:lang w:eastAsia="en-AU"/>
          <w14:ligatures w14:val="none"/>
        </w:rPr>
        <w:br/>
        <w:t xml:space="preserve">It’s important to understand that </w:t>
      </w:r>
      <w:r w:rsidRPr="00F85EF2">
        <w:rPr>
          <w:rFonts w:ascii="Garamond" w:eastAsia="Times New Roman" w:hAnsi="Garamond" w:cs="Times New Roman"/>
          <w:b/>
          <w:bCs/>
          <w:kern w:val="0"/>
          <w:sz w:val="24"/>
          <w:szCs w:val="24"/>
          <w:lang w:eastAsia="en-AU"/>
          <w14:ligatures w14:val="none"/>
        </w:rPr>
        <w:t>this condition is commonly observed in young puppies around 6–10 weeks of age</w:t>
      </w:r>
      <w:r w:rsidRPr="00F85EF2">
        <w:rPr>
          <w:rFonts w:ascii="Garamond" w:eastAsia="Times New Roman" w:hAnsi="Garamond" w:cs="Times New Roman"/>
          <w:kern w:val="0"/>
          <w:sz w:val="24"/>
          <w:szCs w:val="24"/>
          <w:lang w:eastAsia="en-AU"/>
          <w14:ligatures w14:val="none"/>
        </w:rPr>
        <w:t xml:space="preserve"> due to natural variation in jaw growth. The </w:t>
      </w:r>
      <w:r w:rsidRPr="00F85EF2">
        <w:rPr>
          <w:rFonts w:ascii="Garamond" w:eastAsia="Times New Roman" w:hAnsi="Garamond" w:cs="Times New Roman"/>
          <w:b/>
          <w:bCs/>
          <w:kern w:val="0"/>
          <w:sz w:val="24"/>
          <w:szCs w:val="24"/>
          <w:lang w:eastAsia="en-AU"/>
          <w14:ligatures w14:val="none"/>
        </w:rPr>
        <w:t>mandible (lower jaw)</w:t>
      </w:r>
      <w:r w:rsidRPr="00F85EF2">
        <w:rPr>
          <w:rFonts w:ascii="Garamond" w:eastAsia="Times New Roman" w:hAnsi="Garamond" w:cs="Times New Roman"/>
          <w:kern w:val="0"/>
          <w:sz w:val="24"/>
          <w:szCs w:val="24"/>
          <w:lang w:eastAsia="en-AU"/>
          <w14:ligatures w14:val="none"/>
        </w:rPr>
        <w:t xml:space="preserve"> and </w:t>
      </w:r>
      <w:r w:rsidRPr="00F85EF2">
        <w:rPr>
          <w:rFonts w:ascii="Garamond" w:eastAsia="Times New Roman" w:hAnsi="Garamond" w:cs="Times New Roman"/>
          <w:b/>
          <w:bCs/>
          <w:kern w:val="0"/>
          <w:sz w:val="24"/>
          <w:szCs w:val="24"/>
          <w:lang w:eastAsia="en-AU"/>
          <w14:ligatures w14:val="none"/>
        </w:rPr>
        <w:t>maxilla (upper jaw)</w:t>
      </w:r>
      <w:r w:rsidRPr="00F85EF2">
        <w:rPr>
          <w:rFonts w:ascii="Garamond" w:eastAsia="Times New Roman" w:hAnsi="Garamond" w:cs="Times New Roman"/>
          <w:kern w:val="0"/>
          <w:sz w:val="24"/>
          <w:szCs w:val="24"/>
          <w:lang w:eastAsia="en-AU"/>
          <w14:ligatures w14:val="none"/>
        </w:rPr>
        <w:t xml:space="preserve"> grow at different rates, and what may appear to be base narrow canines at 8 weeks of age </w:t>
      </w:r>
      <w:r w:rsidRPr="00F85EF2">
        <w:rPr>
          <w:rFonts w:ascii="Garamond" w:eastAsia="Times New Roman" w:hAnsi="Garamond" w:cs="Times New Roman"/>
          <w:b/>
          <w:bCs/>
          <w:kern w:val="0"/>
          <w:sz w:val="24"/>
          <w:szCs w:val="24"/>
          <w:lang w:eastAsia="en-AU"/>
          <w14:ligatures w14:val="none"/>
        </w:rPr>
        <w:t>often resolves as the puppy grows</w:t>
      </w:r>
      <w:r w:rsidRPr="00F85EF2">
        <w:rPr>
          <w:rFonts w:ascii="Garamond" w:eastAsia="Times New Roman" w:hAnsi="Garamond" w:cs="Times New Roman"/>
          <w:kern w:val="0"/>
          <w:sz w:val="24"/>
          <w:szCs w:val="24"/>
          <w:lang w:eastAsia="en-AU"/>
          <w14:ligatures w14:val="none"/>
        </w:rPr>
        <w:t xml:space="preserve">. Therefore, </w:t>
      </w:r>
      <w:r w:rsidRPr="00F85EF2">
        <w:rPr>
          <w:rFonts w:ascii="Garamond" w:eastAsia="Times New Roman" w:hAnsi="Garamond" w:cs="Times New Roman"/>
          <w:b/>
          <w:bCs/>
          <w:kern w:val="0"/>
          <w:sz w:val="24"/>
          <w:szCs w:val="24"/>
          <w:lang w:eastAsia="en-AU"/>
          <w14:ligatures w14:val="none"/>
        </w:rPr>
        <w:t>a diagnosis of true BNC should be made cautiously and usually not confirmed until after 16 weeks</w:t>
      </w:r>
      <w:r w:rsidRPr="00F85EF2">
        <w:rPr>
          <w:rFonts w:ascii="Garamond" w:eastAsia="Times New Roman" w:hAnsi="Garamond" w:cs="Times New Roman"/>
          <w:kern w:val="0"/>
          <w:sz w:val="24"/>
          <w:szCs w:val="24"/>
          <w:lang w:eastAsia="en-AU"/>
          <w14:ligatures w14:val="none"/>
        </w:rPr>
        <w:t>, unless severe trauma is already evident.</w:t>
      </w:r>
    </w:p>
    <w:p w14:paraId="26D6F510"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57028750">
          <v:rect id="_x0000_i1043" style="width:0;height:1.5pt" o:hralign="center" o:hrstd="t" o:hr="t" fillcolor="#a0a0a0" stroked="f"/>
        </w:pict>
      </w:r>
    </w:p>
    <w:p w14:paraId="1F841FAF"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Signs to Watch For:</w:t>
      </w:r>
    </w:p>
    <w:p w14:paraId="2AC0513F" w14:textId="77777777" w:rsidR="00F85EF2" w:rsidRPr="00F85EF2" w:rsidRDefault="00F85EF2" w:rsidP="00F85EF2">
      <w:pPr>
        <w:numPr>
          <w:ilvl w:val="0"/>
          <w:numId w:val="3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Yelping or discomfort when chewing</w:t>
      </w:r>
    </w:p>
    <w:p w14:paraId="2EF99B1B" w14:textId="77777777" w:rsidR="00F85EF2" w:rsidRPr="00F85EF2" w:rsidRDefault="00F85EF2" w:rsidP="00F85EF2">
      <w:pPr>
        <w:numPr>
          <w:ilvl w:val="0"/>
          <w:numId w:val="3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Resistance to mouth handling</w:t>
      </w:r>
    </w:p>
    <w:p w14:paraId="38C01DA5" w14:textId="77777777" w:rsidR="00F85EF2" w:rsidRPr="00F85EF2" w:rsidRDefault="00F85EF2" w:rsidP="00F85EF2">
      <w:pPr>
        <w:numPr>
          <w:ilvl w:val="0"/>
          <w:numId w:val="3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Ulcers or small wounds on the roof of the mouth</w:t>
      </w:r>
    </w:p>
    <w:p w14:paraId="3D3E1DAE" w14:textId="77777777" w:rsidR="00F85EF2" w:rsidRPr="00F85EF2" w:rsidRDefault="00F85EF2" w:rsidP="00F85EF2">
      <w:pPr>
        <w:numPr>
          <w:ilvl w:val="0"/>
          <w:numId w:val="3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Overly upright or inward-facing lower canines</w:t>
      </w:r>
    </w:p>
    <w:p w14:paraId="130574C7" w14:textId="77777777" w:rsidR="00F85EF2" w:rsidRPr="00F85EF2" w:rsidRDefault="00F85EF2" w:rsidP="00F85EF2">
      <w:pPr>
        <w:numPr>
          <w:ilvl w:val="0"/>
          <w:numId w:val="3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Excessive drooling or foul breath</w:t>
      </w:r>
    </w:p>
    <w:p w14:paraId="535DC498"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170DFB88">
          <v:rect id="_x0000_i1044" style="width:0;height:1.5pt" o:hralign="center" o:hrstd="t" o:hr="t" fillcolor="#a0a0a0" stroked="f"/>
        </w:pict>
      </w:r>
    </w:p>
    <w:p w14:paraId="4F4BCDF0"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Management &amp; Treatment:</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Monitor Growth</w:t>
      </w:r>
      <w:r w:rsidRPr="00F85EF2">
        <w:rPr>
          <w:rFonts w:ascii="Garamond" w:eastAsia="Times New Roman" w:hAnsi="Garamond" w:cs="Times New Roman"/>
          <w:kern w:val="0"/>
          <w:sz w:val="24"/>
          <w:szCs w:val="24"/>
          <w:lang w:eastAsia="en-AU"/>
          <w14:ligatures w14:val="none"/>
        </w:rPr>
        <w:t>: Many mild cases resolve naturally as the jawbones develop—regular checks from 8 to 16 weeks are key.</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Early Vet Assessment</w:t>
      </w:r>
      <w:r w:rsidRPr="00F85EF2">
        <w:rPr>
          <w:rFonts w:ascii="Garamond" w:eastAsia="Times New Roman" w:hAnsi="Garamond" w:cs="Times New Roman"/>
          <w:kern w:val="0"/>
          <w:sz w:val="24"/>
          <w:szCs w:val="24"/>
          <w:lang w:eastAsia="en-AU"/>
          <w14:ligatures w14:val="none"/>
        </w:rPr>
        <w:t>: Especially if there’s pain, bleeding, or trauma.</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Extract Deciduous Canines</w:t>
      </w:r>
      <w:r w:rsidRPr="00F85EF2">
        <w:rPr>
          <w:rFonts w:ascii="Garamond" w:eastAsia="Times New Roman" w:hAnsi="Garamond" w:cs="Times New Roman"/>
          <w:kern w:val="0"/>
          <w:sz w:val="24"/>
          <w:szCs w:val="24"/>
          <w:lang w:eastAsia="en-AU"/>
          <w14:ligatures w14:val="none"/>
        </w:rPr>
        <w:t>: If baby teeth are retained or contributing to misalignment.</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Ball Therapy</w:t>
      </w:r>
      <w:r w:rsidRPr="00F85EF2">
        <w:rPr>
          <w:rFonts w:ascii="Garamond" w:eastAsia="Times New Roman" w:hAnsi="Garamond" w:cs="Times New Roman"/>
          <w:kern w:val="0"/>
          <w:sz w:val="24"/>
          <w:szCs w:val="24"/>
          <w:lang w:eastAsia="en-AU"/>
          <w14:ligatures w14:val="none"/>
        </w:rPr>
        <w:t>: Encouraging daily chewing on a rubber ball can help guide teeth outward.</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Orthodontic Intervention</w:t>
      </w:r>
      <w:r w:rsidRPr="00F85EF2">
        <w:rPr>
          <w:rFonts w:ascii="Garamond" w:eastAsia="Times New Roman" w:hAnsi="Garamond" w:cs="Times New Roman"/>
          <w:kern w:val="0"/>
          <w:sz w:val="24"/>
          <w:szCs w:val="24"/>
          <w:lang w:eastAsia="en-AU"/>
          <w14:ligatures w14:val="none"/>
        </w:rPr>
        <w:t>: In more serious or persistent cases, a veterinary dentist may apply incline planes or bite ramps.</w:t>
      </w:r>
      <w:r w:rsidRPr="00F85EF2">
        <w:rPr>
          <w:rFonts w:ascii="Garamond" w:eastAsia="Times New Roman" w:hAnsi="Garamond" w:cs="Times New Roman"/>
          <w:kern w:val="0"/>
          <w:sz w:val="24"/>
          <w:szCs w:val="24"/>
          <w:lang w:eastAsia="en-AU"/>
          <w14:ligatures w14:val="none"/>
        </w:rPr>
        <w:br/>
      </w:r>
      <w:r w:rsidRPr="00F85EF2">
        <w:rPr>
          <w:rFonts w:ascii="Segoe UI Emoji" w:eastAsia="Times New Roman" w:hAnsi="Segoe UI Emoji" w:cs="Segoe UI Emoji"/>
          <w:kern w:val="0"/>
          <w:sz w:val="24"/>
          <w:szCs w:val="24"/>
          <w:lang w:eastAsia="en-AU"/>
          <w14:ligatures w14:val="none"/>
        </w:rPr>
        <w:t>✅</w:t>
      </w:r>
      <w:r w:rsidRPr="00F85EF2">
        <w:rPr>
          <w:rFonts w:ascii="Garamond" w:eastAsia="Times New Roman" w:hAnsi="Garamond" w:cs="Times New Roman"/>
          <w:kern w:val="0"/>
          <w:sz w:val="24"/>
          <w:szCs w:val="24"/>
          <w:lang w:eastAsia="en-AU"/>
          <w14:ligatures w14:val="none"/>
        </w:rPr>
        <w:t xml:space="preserve"> </w:t>
      </w:r>
      <w:r w:rsidRPr="00F85EF2">
        <w:rPr>
          <w:rFonts w:ascii="Garamond" w:eastAsia="Times New Roman" w:hAnsi="Garamond" w:cs="Times New Roman"/>
          <w:b/>
          <w:bCs/>
          <w:kern w:val="0"/>
          <w:sz w:val="24"/>
          <w:szCs w:val="24"/>
          <w:lang w:eastAsia="en-AU"/>
          <w14:ligatures w14:val="none"/>
        </w:rPr>
        <w:t>Surgical Correction</w:t>
      </w:r>
      <w:r w:rsidRPr="00F85EF2">
        <w:rPr>
          <w:rFonts w:ascii="Garamond" w:eastAsia="Times New Roman" w:hAnsi="Garamond" w:cs="Times New Roman"/>
          <w:kern w:val="0"/>
          <w:sz w:val="24"/>
          <w:szCs w:val="24"/>
          <w:lang w:eastAsia="en-AU"/>
          <w14:ligatures w14:val="none"/>
        </w:rPr>
        <w:t>: In advanced or non-correcting cases to prevent palatal damage.</w:t>
      </w:r>
    </w:p>
    <w:p w14:paraId="2A285E69"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lastRenderedPageBreak/>
        <w:pict w14:anchorId="0E77405D">
          <v:rect id="_x0000_i1045" style="width:0;height:1.5pt" o:hralign="center" o:hrstd="t" o:hr="t" fillcolor="#a0a0a0" stroked="f"/>
        </w:pict>
      </w:r>
    </w:p>
    <w:p w14:paraId="69BA9D09"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Prognosis:</w:t>
      </w:r>
      <w:r w:rsidRPr="00F85EF2">
        <w:rPr>
          <w:rFonts w:ascii="Garamond" w:eastAsia="Times New Roman" w:hAnsi="Garamond" w:cs="Times New Roman"/>
          <w:kern w:val="0"/>
          <w:sz w:val="24"/>
          <w:szCs w:val="24"/>
          <w:lang w:eastAsia="en-AU"/>
          <w14:ligatures w14:val="none"/>
        </w:rPr>
        <w:br/>
      </w:r>
      <w:r w:rsidRPr="00F85EF2">
        <w:rPr>
          <w:rFonts w:ascii="Garamond" w:eastAsia="Times New Roman" w:hAnsi="Garamond" w:cs="Times New Roman"/>
          <w:b/>
          <w:bCs/>
          <w:kern w:val="0"/>
          <w:sz w:val="24"/>
          <w:szCs w:val="24"/>
          <w:lang w:eastAsia="en-AU"/>
          <w14:ligatures w14:val="none"/>
        </w:rPr>
        <w:t>Excellent</w:t>
      </w:r>
      <w:r w:rsidRPr="00F85EF2">
        <w:rPr>
          <w:rFonts w:ascii="Garamond" w:eastAsia="Times New Roman" w:hAnsi="Garamond" w:cs="Times New Roman"/>
          <w:kern w:val="0"/>
          <w:sz w:val="24"/>
          <w:szCs w:val="24"/>
          <w:lang w:eastAsia="en-AU"/>
          <w14:ligatures w14:val="none"/>
        </w:rPr>
        <w:t xml:space="preserve"> in most cases if monitored and treated early. Puppies that outgrow early signs of BNC typically require no further intervention. More serious cases respond well to treatment when addressed promptly.</w:t>
      </w:r>
    </w:p>
    <w:p w14:paraId="372759A2"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0FECECDB">
          <v:rect id="_x0000_i1046" style="width:0;height:1.5pt" o:hralign="center" o:hrstd="t" o:hr="t" fillcolor="#a0a0a0" stroked="f"/>
        </w:pict>
      </w:r>
    </w:p>
    <w:p w14:paraId="7BA65CE3" w14:textId="33E4E85E"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Breeder Guarantee Guidance:</w:t>
      </w:r>
      <w:r w:rsidRPr="00F85EF2">
        <w:rPr>
          <w:rFonts w:ascii="Garamond" w:eastAsia="Times New Roman" w:hAnsi="Garamond" w:cs="Times New Roman"/>
          <w:kern w:val="0"/>
          <w:sz w:val="24"/>
          <w:szCs w:val="24"/>
          <w:lang w:eastAsia="en-AU"/>
          <w14:ligatures w14:val="none"/>
        </w:rPr>
        <w:br/>
        <w:t xml:space="preserve">Base Narrow Canines is considered a </w:t>
      </w:r>
      <w:r w:rsidRPr="00F85EF2">
        <w:rPr>
          <w:rFonts w:ascii="Garamond" w:eastAsia="Times New Roman" w:hAnsi="Garamond" w:cs="Times New Roman"/>
          <w:b/>
          <w:bCs/>
          <w:kern w:val="0"/>
          <w:sz w:val="24"/>
          <w:szCs w:val="24"/>
          <w:lang w:eastAsia="en-AU"/>
          <w14:ligatures w14:val="none"/>
        </w:rPr>
        <w:t>developmental or congenital condition</w:t>
      </w:r>
      <w:r w:rsidRPr="00F85EF2">
        <w:rPr>
          <w:rFonts w:ascii="Garamond" w:eastAsia="Times New Roman" w:hAnsi="Garamond" w:cs="Times New Roman"/>
          <w:kern w:val="0"/>
          <w:sz w:val="24"/>
          <w:szCs w:val="24"/>
          <w:lang w:eastAsia="en-AU"/>
          <w14:ligatures w14:val="none"/>
        </w:rPr>
        <w:t xml:space="preserve">, and </w:t>
      </w:r>
      <w:r w:rsidRPr="00F85EF2">
        <w:rPr>
          <w:rFonts w:ascii="Garamond" w:eastAsia="Times New Roman" w:hAnsi="Garamond" w:cs="Times New Roman"/>
          <w:b/>
          <w:bCs/>
          <w:kern w:val="0"/>
          <w:sz w:val="24"/>
          <w:szCs w:val="24"/>
          <w:lang w:eastAsia="en-AU"/>
          <w14:ligatures w14:val="none"/>
        </w:rPr>
        <w:t>not all cases are problematic or permanent</w:t>
      </w:r>
      <w:r w:rsidRPr="00F85EF2">
        <w:rPr>
          <w:rFonts w:ascii="Garamond" w:eastAsia="Times New Roman" w:hAnsi="Garamond" w:cs="Times New Roman"/>
          <w:kern w:val="0"/>
          <w:sz w:val="24"/>
          <w:szCs w:val="24"/>
          <w:lang w:eastAsia="en-AU"/>
          <w14:ligatures w14:val="none"/>
        </w:rPr>
        <w:t xml:space="preserve">. </w:t>
      </w:r>
      <w:r w:rsidR="003D2EDF">
        <w:rPr>
          <w:rFonts w:ascii="Garamond" w:eastAsia="Times New Roman" w:hAnsi="Garamond" w:cs="Times New Roman"/>
          <w:kern w:val="0"/>
          <w:sz w:val="24"/>
          <w:szCs w:val="24"/>
          <w:lang w:eastAsia="en-AU"/>
          <w14:ligatures w14:val="none"/>
        </w:rPr>
        <w:t>M</w:t>
      </w:r>
      <w:r w:rsidRPr="00F85EF2">
        <w:rPr>
          <w:rFonts w:ascii="Garamond" w:eastAsia="Times New Roman" w:hAnsi="Garamond" w:cs="Times New Roman"/>
          <w:kern w:val="0"/>
          <w:sz w:val="24"/>
          <w:szCs w:val="24"/>
          <w:lang w:eastAsia="en-AU"/>
          <w14:ligatures w14:val="none"/>
        </w:rPr>
        <w:t xml:space="preserve">oderate to severe persistent BNC that compromises </w:t>
      </w:r>
      <w:proofErr w:type="gramStart"/>
      <w:r w:rsidRPr="00F85EF2">
        <w:rPr>
          <w:rFonts w:ascii="Garamond" w:eastAsia="Times New Roman" w:hAnsi="Garamond" w:cs="Times New Roman"/>
          <w:kern w:val="0"/>
          <w:sz w:val="24"/>
          <w:szCs w:val="24"/>
          <w:lang w:eastAsia="en-AU"/>
          <w14:ligatures w14:val="none"/>
        </w:rPr>
        <w:t>health</w:t>
      </w:r>
      <w:proofErr w:type="gramEnd"/>
      <w:r w:rsidRPr="00F85EF2">
        <w:rPr>
          <w:rFonts w:ascii="Garamond" w:eastAsia="Times New Roman" w:hAnsi="Garamond" w:cs="Times New Roman"/>
          <w:kern w:val="0"/>
          <w:sz w:val="24"/>
          <w:szCs w:val="24"/>
          <w:lang w:eastAsia="en-AU"/>
          <w14:ligatures w14:val="none"/>
        </w:rPr>
        <w:t xml:space="preserve"> or comfort may be </w:t>
      </w:r>
      <w:r w:rsidRPr="00F85EF2">
        <w:rPr>
          <w:rFonts w:ascii="Garamond" w:eastAsia="Times New Roman" w:hAnsi="Garamond" w:cs="Times New Roman"/>
          <w:b/>
          <w:bCs/>
          <w:kern w:val="0"/>
          <w:sz w:val="24"/>
          <w:szCs w:val="24"/>
          <w:lang w:eastAsia="en-AU"/>
          <w14:ligatures w14:val="none"/>
        </w:rPr>
        <w:t>covered under our Health Guarantee</w:t>
      </w:r>
      <w:r w:rsidRPr="00F85EF2">
        <w:rPr>
          <w:rFonts w:ascii="Garamond" w:eastAsia="Times New Roman" w:hAnsi="Garamond" w:cs="Times New Roman"/>
          <w:kern w:val="0"/>
          <w:sz w:val="24"/>
          <w:szCs w:val="24"/>
          <w:lang w:eastAsia="en-AU"/>
          <w14:ligatures w14:val="none"/>
        </w:rPr>
        <w:t xml:space="preserve"> if diagnosed by a licensed veterinarian and deemed not to be part of normal developmental variation.</w:t>
      </w:r>
    </w:p>
    <w:p w14:paraId="384663C8" w14:textId="77777777" w:rsidR="00F85EF2" w:rsidRPr="00F85EF2" w:rsidRDefault="00F85EF2" w:rsidP="00F85EF2">
      <w:pPr>
        <w:spacing w:after="0"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pict w14:anchorId="0F474276">
          <v:rect id="_x0000_i1047" style="width:0;height:1.5pt" o:hralign="center" o:hrstd="t" o:hr="t" fillcolor="#a0a0a0" stroked="f"/>
        </w:pict>
      </w:r>
    </w:p>
    <w:p w14:paraId="7F6EB81C" w14:textId="77777777" w:rsidR="00F85EF2" w:rsidRPr="00F85EF2" w:rsidRDefault="00F85EF2" w:rsidP="00F85EF2">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Segoe UI Emoji" w:eastAsia="Times New Roman" w:hAnsi="Segoe UI Emoji" w:cs="Segoe UI Emoji"/>
          <w:b/>
          <w:bCs/>
          <w:kern w:val="0"/>
          <w:sz w:val="24"/>
          <w:szCs w:val="24"/>
          <w:lang w:eastAsia="en-AU"/>
          <w14:ligatures w14:val="none"/>
        </w:rPr>
        <w:t>📚</w:t>
      </w:r>
      <w:r w:rsidRPr="00F85EF2">
        <w:rPr>
          <w:rFonts w:ascii="Garamond" w:eastAsia="Times New Roman" w:hAnsi="Garamond" w:cs="Times New Roman"/>
          <w:b/>
          <w:bCs/>
          <w:kern w:val="0"/>
          <w:sz w:val="24"/>
          <w:szCs w:val="24"/>
          <w:lang w:eastAsia="en-AU"/>
          <w14:ligatures w14:val="none"/>
        </w:rPr>
        <w:t xml:space="preserve"> References:</w:t>
      </w:r>
    </w:p>
    <w:p w14:paraId="5599FCD0" w14:textId="77777777" w:rsidR="00F85EF2" w:rsidRPr="00F85EF2" w:rsidRDefault="00F85EF2" w:rsidP="00F85EF2">
      <w:pPr>
        <w:numPr>
          <w:ilvl w:val="0"/>
          <w:numId w:val="33"/>
        </w:numPr>
        <w:spacing w:before="100" w:beforeAutospacing="1" w:after="100" w:afterAutospacing="1" w:line="240" w:lineRule="auto"/>
        <w:rPr>
          <w:rFonts w:ascii="Garamond" w:eastAsia="Times New Roman" w:hAnsi="Garamond" w:cs="Times New Roman"/>
          <w:kern w:val="0"/>
          <w:sz w:val="24"/>
          <w:szCs w:val="24"/>
          <w:lang w:eastAsia="en-AU"/>
          <w14:ligatures w14:val="none"/>
        </w:rPr>
      </w:pPr>
      <w:proofErr w:type="spellStart"/>
      <w:r w:rsidRPr="00F85EF2">
        <w:rPr>
          <w:rFonts w:ascii="Garamond" w:eastAsia="Times New Roman" w:hAnsi="Garamond" w:cs="Times New Roman"/>
          <w:kern w:val="0"/>
          <w:sz w:val="24"/>
          <w:szCs w:val="24"/>
          <w:lang w:eastAsia="en-AU"/>
          <w14:ligatures w14:val="none"/>
        </w:rPr>
        <w:t>Lobprise</w:t>
      </w:r>
      <w:proofErr w:type="spellEnd"/>
      <w:r w:rsidRPr="00F85EF2">
        <w:rPr>
          <w:rFonts w:ascii="Garamond" w:eastAsia="Times New Roman" w:hAnsi="Garamond" w:cs="Times New Roman"/>
          <w:kern w:val="0"/>
          <w:sz w:val="24"/>
          <w:szCs w:val="24"/>
          <w:lang w:eastAsia="en-AU"/>
          <w14:ligatures w14:val="none"/>
        </w:rPr>
        <w:t xml:space="preserve">, H., &amp; Dodd, J. R. (2019). </w:t>
      </w:r>
      <w:r w:rsidRPr="00F85EF2">
        <w:rPr>
          <w:rFonts w:ascii="Garamond" w:eastAsia="Times New Roman" w:hAnsi="Garamond" w:cs="Times New Roman"/>
          <w:i/>
          <w:iCs/>
          <w:kern w:val="0"/>
          <w:sz w:val="24"/>
          <w:szCs w:val="24"/>
          <w:lang w:eastAsia="en-AU"/>
          <w14:ligatures w14:val="none"/>
        </w:rPr>
        <w:t>Wiggs’s Veterinary Dentistry: Principles and Practice</w:t>
      </w:r>
      <w:r w:rsidRPr="00F85EF2">
        <w:rPr>
          <w:rFonts w:ascii="Garamond" w:eastAsia="Times New Roman" w:hAnsi="Garamond" w:cs="Times New Roman"/>
          <w:kern w:val="0"/>
          <w:sz w:val="24"/>
          <w:szCs w:val="24"/>
          <w:lang w:eastAsia="en-AU"/>
          <w14:ligatures w14:val="none"/>
        </w:rPr>
        <w:t>. Wiley-Blackwell.</w:t>
      </w:r>
    </w:p>
    <w:p w14:paraId="0F848E1C" w14:textId="77777777" w:rsidR="00F85EF2" w:rsidRPr="00F85EF2" w:rsidRDefault="00F85EF2" w:rsidP="00F85EF2">
      <w:pPr>
        <w:numPr>
          <w:ilvl w:val="0"/>
          <w:numId w:val="3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 xml:space="preserve">Niemiec, B. A. (2008). </w:t>
      </w:r>
      <w:r w:rsidRPr="00F85EF2">
        <w:rPr>
          <w:rFonts w:ascii="Garamond" w:eastAsia="Times New Roman" w:hAnsi="Garamond" w:cs="Times New Roman"/>
          <w:i/>
          <w:iCs/>
          <w:kern w:val="0"/>
          <w:sz w:val="24"/>
          <w:szCs w:val="24"/>
          <w:lang w:eastAsia="en-AU"/>
          <w14:ligatures w14:val="none"/>
        </w:rPr>
        <w:t>Small Animal Dental, Oral and Maxillofacial Disease: A Colour Handbook</w:t>
      </w:r>
      <w:r w:rsidRPr="00F85EF2">
        <w:rPr>
          <w:rFonts w:ascii="Garamond" w:eastAsia="Times New Roman" w:hAnsi="Garamond" w:cs="Times New Roman"/>
          <w:kern w:val="0"/>
          <w:sz w:val="24"/>
          <w:szCs w:val="24"/>
          <w:lang w:eastAsia="en-AU"/>
          <w14:ligatures w14:val="none"/>
        </w:rPr>
        <w:t>. Manson Publishing.</w:t>
      </w:r>
    </w:p>
    <w:p w14:paraId="6B4C73C7" w14:textId="77777777" w:rsidR="00F85EF2" w:rsidRPr="00F85EF2" w:rsidRDefault="00F85EF2" w:rsidP="00F85EF2">
      <w:pPr>
        <w:numPr>
          <w:ilvl w:val="0"/>
          <w:numId w:val="3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F85EF2">
        <w:rPr>
          <w:rFonts w:ascii="Garamond" w:eastAsia="Times New Roman" w:hAnsi="Garamond" w:cs="Times New Roman"/>
          <w:kern w:val="0"/>
          <w:sz w:val="24"/>
          <w:szCs w:val="24"/>
          <w:lang w:eastAsia="en-AU"/>
          <w14:ligatures w14:val="none"/>
        </w:rPr>
        <w:t xml:space="preserve">American Veterinary Dental College (AVDC). (2022). Malocclusion Resources. </w:t>
      </w:r>
      <w:hyperlink r:id="rId7" w:tgtFrame="_new" w:history="1">
        <w:r w:rsidRPr="00F85EF2">
          <w:rPr>
            <w:rFonts w:ascii="Garamond" w:eastAsia="Times New Roman" w:hAnsi="Garamond" w:cs="Times New Roman"/>
            <w:color w:val="0000FF"/>
            <w:kern w:val="0"/>
            <w:sz w:val="24"/>
            <w:szCs w:val="24"/>
            <w:u w:val="single"/>
            <w:lang w:eastAsia="en-AU"/>
            <w14:ligatures w14:val="none"/>
          </w:rPr>
          <w:t>www.avdc.org</w:t>
        </w:r>
      </w:hyperlink>
    </w:p>
    <w:p w14:paraId="05B655D7" w14:textId="77777777" w:rsidR="001A5796" w:rsidRPr="00820644" w:rsidRDefault="001A5796" w:rsidP="00820644"/>
    <w:sectPr w:rsidR="001A5796" w:rsidRPr="00820644" w:rsidSect="00940134">
      <w:headerReference w:type="default" r:id="rId8"/>
      <w:footerReference w:type="default" r:id="rId9"/>
      <w:headerReference w:type="first" r:id="rId10"/>
      <w:footerReference w:type="first" r:id="rId1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D2BBA" w14:textId="77777777" w:rsidR="0059321C" w:rsidRDefault="0059321C" w:rsidP="00940134">
      <w:pPr>
        <w:spacing w:after="0" w:line="240" w:lineRule="auto"/>
      </w:pPr>
      <w:r>
        <w:separator/>
      </w:r>
    </w:p>
  </w:endnote>
  <w:endnote w:type="continuationSeparator" w:id="0">
    <w:p w14:paraId="663CE21F" w14:textId="77777777" w:rsidR="0059321C" w:rsidRDefault="0059321C"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52857D91" w14:textId="77777777" w:rsidR="003B38F2" w:rsidRDefault="003B38F2" w:rsidP="003B38F2">
        <w:pPr>
          <w:spacing w:after="0"/>
        </w:pPr>
        <w:r>
          <w:t xml:space="preserve">© 2025 Breeder Trusted Resources. All rights reserved.  </w:t>
        </w:r>
      </w:p>
      <w:p w14:paraId="662F0A40" w14:textId="77777777" w:rsidR="003B38F2" w:rsidRPr="00AB6167" w:rsidRDefault="003B38F2" w:rsidP="003B38F2">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35A92CA4"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0001F2" w14:textId="77777777" w:rsidR="0059321C" w:rsidRDefault="0059321C" w:rsidP="00940134">
      <w:pPr>
        <w:spacing w:after="0" w:line="240" w:lineRule="auto"/>
      </w:pPr>
      <w:r>
        <w:separator/>
      </w:r>
    </w:p>
  </w:footnote>
  <w:footnote w:type="continuationSeparator" w:id="0">
    <w:p w14:paraId="46A3371A" w14:textId="77777777" w:rsidR="0059321C" w:rsidRDefault="0059321C"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24"/>
  </w:num>
  <w:num w:numId="2" w16cid:durableId="1367607641">
    <w:abstractNumId w:val="0"/>
  </w:num>
  <w:num w:numId="3" w16cid:durableId="570189603">
    <w:abstractNumId w:val="19"/>
  </w:num>
  <w:num w:numId="4" w16cid:durableId="1123576330">
    <w:abstractNumId w:val="3"/>
  </w:num>
  <w:num w:numId="5" w16cid:durableId="398988730">
    <w:abstractNumId w:val="9"/>
  </w:num>
  <w:num w:numId="6" w16cid:durableId="512569044">
    <w:abstractNumId w:val="10"/>
  </w:num>
  <w:num w:numId="7" w16cid:durableId="1152798501">
    <w:abstractNumId w:val="12"/>
  </w:num>
  <w:num w:numId="8" w16cid:durableId="276445570">
    <w:abstractNumId w:val="32"/>
  </w:num>
  <w:num w:numId="9" w16cid:durableId="384066689">
    <w:abstractNumId w:val="26"/>
  </w:num>
  <w:num w:numId="10" w16cid:durableId="1268387662">
    <w:abstractNumId w:val="14"/>
  </w:num>
  <w:num w:numId="11" w16cid:durableId="1638223199">
    <w:abstractNumId w:val="17"/>
  </w:num>
  <w:num w:numId="12" w16cid:durableId="492378415">
    <w:abstractNumId w:val="1"/>
  </w:num>
  <w:num w:numId="13" w16cid:durableId="2099787152">
    <w:abstractNumId w:val="22"/>
  </w:num>
  <w:num w:numId="14" w16cid:durableId="1192185909">
    <w:abstractNumId w:val="6"/>
  </w:num>
  <w:num w:numId="15" w16cid:durableId="1225065578">
    <w:abstractNumId w:val="30"/>
  </w:num>
  <w:num w:numId="16" w16cid:durableId="1729986131">
    <w:abstractNumId w:val="7"/>
  </w:num>
  <w:num w:numId="17" w16cid:durableId="1218202856">
    <w:abstractNumId w:val="28"/>
  </w:num>
  <w:num w:numId="18" w16cid:durableId="704867148">
    <w:abstractNumId w:val="8"/>
  </w:num>
  <w:num w:numId="19" w16cid:durableId="1512449775">
    <w:abstractNumId w:val="5"/>
  </w:num>
  <w:num w:numId="20" w16cid:durableId="802229870">
    <w:abstractNumId w:val="27"/>
  </w:num>
  <w:num w:numId="21" w16cid:durableId="823277741">
    <w:abstractNumId w:val="16"/>
  </w:num>
  <w:num w:numId="22" w16cid:durableId="424806198">
    <w:abstractNumId w:val="31"/>
  </w:num>
  <w:num w:numId="23" w16cid:durableId="917833721">
    <w:abstractNumId w:val="23"/>
  </w:num>
  <w:num w:numId="24" w16cid:durableId="1762489008">
    <w:abstractNumId w:val="2"/>
  </w:num>
  <w:num w:numId="25" w16cid:durableId="1806701286">
    <w:abstractNumId w:val="4"/>
  </w:num>
  <w:num w:numId="26" w16cid:durableId="237403480">
    <w:abstractNumId w:val="13"/>
  </w:num>
  <w:num w:numId="27" w16cid:durableId="1246038947">
    <w:abstractNumId w:val="15"/>
  </w:num>
  <w:num w:numId="28" w16cid:durableId="1424952966">
    <w:abstractNumId w:val="11"/>
  </w:num>
  <w:num w:numId="29" w16cid:durableId="141890572">
    <w:abstractNumId w:val="20"/>
  </w:num>
  <w:num w:numId="30" w16cid:durableId="601842614">
    <w:abstractNumId w:val="25"/>
  </w:num>
  <w:num w:numId="31" w16cid:durableId="402605094">
    <w:abstractNumId w:val="29"/>
  </w:num>
  <w:num w:numId="32" w16cid:durableId="668559515">
    <w:abstractNumId w:val="21"/>
  </w:num>
  <w:num w:numId="33" w16cid:durableId="169384646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C0CB6"/>
    <w:rsid w:val="000E6176"/>
    <w:rsid w:val="001A5796"/>
    <w:rsid w:val="0026465F"/>
    <w:rsid w:val="002C2E9E"/>
    <w:rsid w:val="003B38F2"/>
    <w:rsid w:val="003D2EDF"/>
    <w:rsid w:val="003D3860"/>
    <w:rsid w:val="003F74E8"/>
    <w:rsid w:val="0042521A"/>
    <w:rsid w:val="00432A06"/>
    <w:rsid w:val="004E6705"/>
    <w:rsid w:val="0053071D"/>
    <w:rsid w:val="00531FCB"/>
    <w:rsid w:val="0059321C"/>
    <w:rsid w:val="005C4CF4"/>
    <w:rsid w:val="006454BD"/>
    <w:rsid w:val="00653A4F"/>
    <w:rsid w:val="006B312D"/>
    <w:rsid w:val="006D0C3C"/>
    <w:rsid w:val="006E29F1"/>
    <w:rsid w:val="00817151"/>
    <w:rsid w:val="00820644"/>
    <w:rsid w:val="0083026E"/>
    <w:rsid w:val="008C2FD1"/>
    <w:rsid w:val="009040D3"/>
    <w:rsid w:val="009211A4"/>
    <w:rsid w:val="00940134"/>
    <w:rsid w:val="009D333A"/>
    <w:rsid w:val="009F198A"/>
    <w:rsid w:val="00A47D12"/>
    <w:rsid w:val="00AB6167"/>
    <w:rsid w:val="00AC1DDF"/>
    <w:rsid w:val="00AE3A90"/>
    <w:rsid w:val="00B17AA9"/>
    <w:rsid w:val="00B21DB8"/>
    <w:rsid w:val="00BE551C"/>
    <w:rsid w:val="00C2189E"/>
    <w:rsid w:val="00C708E2"/>
    <w:rsid w:val="00CB72D5"/>
    <w:rsid w:val="00CD5A2E"/>
    <w:rsid w:val="00D11626"/>
    <w:rsid w:val="00D15A20"/>
    <w:rsid w:val="00D25975"/>
    <w:rsid w:val="00E35C7E"/>
    <w:rsid w:val="00F46A58"/>
    <w:rsid w:val="00F55783"/>
    <w:rsid w:val="00F85EF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avdc.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403</Words>
  <Characters>2209</Characters>
  <Application>Microsoft Office Word</Application>
  <DocSecurity>0</DocSecurity>
  <Lines>53</Lines>
  <Paragraphs>16</Paragraphs>
  <ScaleCrop>false</ScaleCrop>
  <Company/>
  <LinksUpToDate>false</LinksUpToDate>
  <CharactersWithSpaces>2602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3</cp:revision>
  <cp:lastPrinted>2025-05-26T23:55:00Z</cp:lastPrinted>
  <dcterms:created xsi:type="dcterms:W3CDTF">2025-05-26T23:55:00Z</dcterms:created>
  <dcterms:modified xsi:type="dcterms:W3CDTF">2025-05-27T00:19:00Z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